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F8" w:rsidRPr="00085DCD" w:rsidRDefault="00085DCD" w:rsidP="003D27F8">
      <w:pPr>
        <w:spacing w:after="160" w:line="256" w:lineRule="auto"/>
        <w:ind w:left="0"/>
        <w:jc w:val="right"/>
        <w:rPr>
          <w:rFonts w:eastAsia="Calibri"/>
          <w:lang w:val="ro-RO"/>
        </w:rPr>
      </w:pPr>
      <w:r>
        <w:rPr>
          <w:rFonts w:cs="Arial"/>
          <w:b/>
          <w:color w:val="000000" w:themeColor="text1"/>
          <w:lang w:val="ro-RO"/>
        </w:rPr>
        <w:tab/>
      </w:r>
      <w:r>
        <w:rPr>
          <w:rFonts w:cs="Arial"/>
          <w:b/>
          <w:color w:val="000000" w:themeColor="text1"/>
          <w:lang w:val="ro-RO"/>
        </w:rPr>
        <w:tab/>
      </w:r>
      <w:r>
        <w:rPr>
          <w:rFonts w:cs="Arial"/>
          <w:b/>
          <w:color w:val="000000" w:themeColor="text1"/>
          <w:lang w:val="ro-RO"/>
        </w:rPr>
        <w:tab/>
      </w:r>
      <w:r>
        <w:rPr>
          <w:rFonts w:cs="Arial"/>
          <w:b/>
          <w:color w:val="000000" w:themeColor="text1"/>
          <w:lang w:val="ro-RO"/>
        </w:rPr>
        <w:tab/>
      </w:r>
      <w:r>
        <w:rPr>
          <w:rFonts w:cs="Arial"/>
          <w:b/>
          <w:color w:val="000000" w:themeColor="text1"/>
          <w:lang w:val="ro-RO"/>
        </w:rPr>
        <w:tab/>
      </w:r>
      <w:r>
        <w:rPr>
          <w:rFonts w:cs="Arial"/>
          <w:b/>
          <w:color w:val="000000" w:themeColor="text1"/>
          <w:lang w:val="ro-RO"/>
        </w:rPr>
        <w:tab/>
      </w:r>
      <w:r>
        <w:rPr>
          <w:rFonts w:cs="Arial"/>
          <w:b/>
          <w:color w:val="000000" w:themeColor="text1"/>
          <w:lang w:val="ro-RO"/>
        </w:rPr>
        <w:tab/>
      </w:r>
      <w:r>
        <w:rPr>
          <w:rFonts w:cs="Arial"/>
          <w:b/>
          <w:color w:val="000000" w:themeColor="text1"/>
          <w:lang w:val="ro-RO"/>
        </w:rPr>
        <w:tab/>
      </w:r>
      <w:r>
        <w:rPr>
          <w:rFonts w:cs="Arial"/>
          <w:b/>
          <w:color w:val="000000" w:themeColor="text1"/>
          <w:lang w:val="ro-RO"/>
        </w:rPr>
        <w:tab/>
      </w:r>
      <w:r>
        <w:rPr>
          <w:rFonts w:cs="Arial"/>
          <w:b/>
          <w:color w:val="000000" w:themeColor="text1"/>
          <w:lang w:val="ro-RO"/>
        </w:rPr>
        <w:tab/>
      </w:r>
      <w:bookmarkStart w:id="0" w:name="_GoBack"/>
      <w:bookmarkEnd w:id="0"/>
    </w:p>
    <w:p w:rsidR="00085DCD" w:rsidRPr="00085DCD" w:rsidRDefault="00085DCD" w:rsidP="00085DCD">
      <w:pPr>
        <w:spacing w:after="160" w:line="256" w:lineRule="auto"/>
        <w:ind w:left="0"/>
        <w:jc w:val="right"/>
        <w:rPr>
          <w:rFonts w:eastAsia="Calibri"/>
          <w:lang w:val="ro-RO"/>
        </w:rPr>
      </w:pPr>
    </w:p>
    <w:p w:rsidR="00024593" w:rsidRPr="00DE76B5" w:rsidRDefault="000B4C32" w:rsidP="00DE76B5">
      <w:pPr>
        <w:ind w:left="284"/>
        <w:rPr>
          <w:rFonts w:cs="Arial"/>
          <w:b/>
          <w:color w:val="000000" w:themeColor="text1"/>
          <w:lang w:val="ro-RO"/>
        </w:rPr>
      </w:pPr>
      <w:r w:rsidRPr="00DE76B5">
        <w:rPr>
          <w:rFonts w:cs="Arial"/>
          <w:b/>
          <w:color w:val="000000" w:themeColor="text1"/>
          <w:lang w:val="ro-RO"/>
        </w:rPr>
        <w:t>Bibliografie:</w:t>
      </w:r>
    </w:p>
    <w:p w:rsidR="00024593" w:rsidRPr="00DE76B5" w:rsidRDefault="00E83985" w:rsidP="00DE76B5">
      <w:pPr>
        <w:pStyle w:val="ListParagraph"/>
        <w:numPr>
          <w:ilvl w:val="0"/>
          <w:numId w:val="15"/>
        </w:numPr>
        <w:spacing w:after="0"/>
        <w:rPr>
          <w:color w:val="000000" w:themeColor="text1"/>
          <w:lang w:val="ro-RO"/>
        </w:rPr>
      </w:pPr>
      <w:r w:rsidRPr="00DE76B5">
        <w:rPr>
          <w:color w:val="000000" w:themeColor="text1"/>
          <w:lang w:val="ro-RO"/>
        </w:rPr>
        <w:t>Constituția</w:t>
      </w:r>
      <w:r w:rsidR="00D27236" w:rsidRPr="00DE76B5">
        <w:rPr>
          <w:color w:val="000000" w:themeColor="text1"/>
          <w:lang w:val="ro-RO"/>
        </w:rPr>
        <w:t xml:space="preserve"> României, republicată.</w:t>
      </w:r>
    </w:p>
    <w:p w:rsidR="00024593" w:rsidRPr="00DE76B5" w:rsidRDefault="00E83985" w:rsidP="00DE76B5">
      <w:pPr>
        <w:pStyle w:val="ListParagraph"/>
        <w:numPr>
          <w:ilvl w:val="0"/>
          <w:numId w:val="15"/>
        </w:numPr>
        <w:spacing w:after="0"/>
        <w:rPr>
          <w:color w:val="000000" w:themeColor="text1"/>
          <w:lang w:val="ro-RO"/>
        </w:rPr>
      </w:pPr>
      <w:r w:rsidRPr="00DE76B5">
        <w:rPr>
          <w:color w:val="000000" w:themeColor="text1"/>
          <w:lang w:val="ro-RO"/>
        </w:rPr>
        <w:t>Ordonanța</w:t>
      </w:r>
      <w:r w:rsidR="003A50B5" w:rsidRPr="00DE76B5">
        <w:rPr>
          <w:color w:val="000000" w:themeColor="text1"/>
          <w:lang w:val="ro-RO"/>
        </w:rPr>
        <w:t xml:space="preserve"> de </w:t>
      </w:r>
      <w:r w:rsidRPr="00DE76B5">
        <w:rPr>
          <w:color w:val="000000" w:themeColor="text1"/>
          <w:lang w:val="ro-RO"/>
        </w:rPr>
        <w:t>urgență</w:t>
      </w:r>
      <w:r w:rsidR="003A50B5" w:rsidRPr="00DE76B5">
        <w:rPr>
          <w:color w:val="000000" w:themeColor="text1"/>
          <w:lang w:val="ro-RO"/>
        </w:rPr>
        <w:t xml:space="preserve"> a Guvernului nr. 57/2019</w:t>
      </w:r>
      <w:r w:rsidR="00D4492D" w:rsidRPr="00DE76B5">
        <w:rPr>
          <w:color w:val="000000" w:themeColor="text1"/>
          <w:lang w:val="ro-RO"/>
        </w:rPr>
        <w:t xml:space="preserve"> privind Codul administrativ</w:t>
      </w:r>
      <w:r w:rsidR="00D27236" w:rsidRPr="00DE76B5">
        <w:rPr>
          <w:color w:val="000000" w:themeColor="text1"/>
          <w:lang w:val="ro-RO"/>
        </w:rPr>
        <w:t>.</w:t>
      </w:r>
    </w:p>
    <w:p w:rsidR="00024593" w:rsidRPr="00DE76B5" w:rsidRDefault="003A50B5" w:rsidP="00DE76B5">
      <w:pPr>
        <w:pStyle w:val="ListParagraph"/>
        <w:numPr>
          <w:ilvl w:val="0"/>
          <w:numId w:val="15"/>
        </w:numPr>
        <w:spacing w:after="0"/>
        <w:rPr>
          <w:color w:val="000000" w:themeColor="text1"/>
          <w:lang w:val="ro-RO"/>
        </w:rPr>
      </w:pPr>
      <w:r w:rsidRPr="00DE76B5">
        <w:rPr>
          <w:color w:val="000000" w:themeColor="text1"/>
          <w:lang w:val="ro-RO"/>
        </w:rPr>
        <w:t>Ordonanţa Guvernului nr. 137/2000 privind prevenirea şi sancţionarea tuturor formel</w:t>
      </w:r>
      <w:r w:rsidR="00E83985" w:rsidRPr="00DE76B5">
        <w:rPr>
          <w:color w:val="000000" w:themeColor="text1"/>
          <w:lang w:val="ro-RO"/>
        </w:rPr>
        <w:t>or de discriminare, republicată</w:t>
      </w:r>
      <w:r w:rsidR="00024593" w:rsidRPr="00DE76B5">
        <w:rPr>
          <w:color w:val="000000" w:themeColor="text1"/>
          <w:lang w:val="ro-RO"/>
        </w:rPr>
        <w:t>.</w:t>
      </w:r>
    </w:p>
    <w:p w:rsidR="003A50B5" w:rsidRPr="00DE76B5" w:rsidRDefault="003A50B5" w:rsidP="00DE76B5">
      <w:pPr>
        <w:pStyle w:val="ListParagraph"/>
        <w:numPr>
          <w:ilvl w:val="0"/>
          <w:numId w:val="15"/>
        </w:numPr>
        <w:spacing w:after="0"/>
        <w:rPr>
          <w:color w:val="000000" w:themeColor="text1"/>
          <w:lang w:val="ro-RO"/>
        </w:rPr>
      </w:pPr>
      <w:r w:rsidRPr="00DE76B5">
        <w:rPr>
          <w:color w:val="000000" w:themeColor="text1"/>
          <w:lang w:val="ro-RO"/>
        </w:rPr>
        <w:t>Legea nr. 202/2002 privind egalitatea de şanse şi de tratament într</w:t>
      </w:r>
      <w:r w:rsidR="00E83985" w:rsidRPr="00DE76B5">
        <w:rPr>
          <w:color w:val="000000" w:themeColor="text1"/>
          <w:lang w:val="ro-RO"/>
        </w:rPr>
        <w:t>e femei şi bărbaţi, republicată</w:t>
      </w:r>
      <w:r w:rsidRPr="00DE76B5">
        <w:rPr>
          <w:color w:val="000000" w:themeColor="text1"/>
          <w:lang w:val="ro-RO"/>
        </w:rPr>
        <w:t>.</w:t>
      </w:r>
    </w:p>
    <w:p w:rsidR="00460027" w:rsidRPr="00DE76B5" w:rsidRDefault="00460027" w:rsidP="00DE76B5">
      <w:pPr>
        <w:numPr>
          <w:ilvl w:val="0"/>
          <w:numId w:val="15"/>
        </w:numPr>
        <w:spacing w:after="0"/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>Ordonanţ</w:t>
      </w:r>
      <w:r w:rsidR="005A4B3C" w:rsidRPr="00DE76B5">
        <w:rPr>
          <w:rFonts w:eastAsia="Calibri"/>
          <w:color w:val="000000" w:themeColor="text1"/>
          <w:lang w:val="ro-RO"/>
        </w:rPr>
        <w:t>a</w:t>
      </w:r>
      <w:r w:rsidRPr="00DE76B5">
        <w:rPr>
          <w:rFonts w:eastAsia="Calibri"/>
          <w:color w:val="000000" w:themeColor="text1"/>
          <w:lang w:val="ro-RO"/>
        </w:rPr>
        <w:t xml:space="preserve"> Guvernului nr. 27/2002 privind reglementarea activită</w:t>
      </w:r>
      <w:r w:rsidR="00D27236" w:rsidRPr="00DE76B5">
        <w:rPr>
          <w:rFonts w:eastAsia="Calibri"/>
          <w:color w:val="000000" w:themeColor="text1"/>
          <w:lang w:val="ro-RO"/>
        </w:rPr>
        <w:t>ţii de soluţionare a petiţiilor.</w:t>
      </w:r>
    </w:p>
    <w:p w:rsidR="00460027" w:rsidRPr="00DE76B5" w:rsidRDefault="00460027" w:rsidP="00DE76B5">
      <w:pPr>
        <w:numPr>
          <w:ilvl w:val="0"/>
          <w:numId w:val="15"/>
        </w:numPr>
        <w:spacing w:after="0"/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 xml:space="preserve">Legea nr. 318/2015 pentru înfiinţarea, organizarea şi funcţionarea Agenţiei Naţionale de Administrare a Bunurilor Indisponibilizate şi pentru modificarea şi </w:t>
      </w:r>
      <w:r w:rsidR="00D27236" w:rsidRPr="00DE76B5">
        <w:rPr>
          <w:rFonts w:eastAsia="Calibri"/>
          <w:color w:val="000000" w:themeColor="text1"/>
          <w:lang w:val="ro-RO"/>
        </w:rPr>
        <w:t>completarea unor acte normative.</w:t>
      </w:r>
    </w:p>
    <w:p w:rsidR="00AB1C80" w:rsidRPr="00DE76B5" w:rsidRDefault="00AB1C80" w:rsidP="00DE76B5">
      <w:pPr>
        <w:pStyle w:val="ListParagraph"/>
        <w:numPr>
          <w:ilvl w:val="0"/>
          <w:numId w:val="15"/>
        </w:numPr>
        <w:spacing w:after="0"/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 xml:space="preserve">Hotărârea Guvernului nr. 358/2016 privind aprobarea Regulamentului de organizare şi funcţionare a Agenţiei Naţionale de Administrare a Bunurilor Indisponibilizate, a organigramei, a parcului auto şi a modului de utilizare a acestuia, precum şi pentru completarea Hotărârii Guvernului nr. 652/2009 privind organizarea şi funcţionarea Ministerului </w:t>
      </w:r>
      <w:proofErr w:type="spellStart"/>
      <w:r w:rsidRPr="00DE76B5">
        <w:rPr>
          <w:rFonts w:eastAsia="Calibri"/>
          <w:color w:val="000000" w:themeColor="text1"/>
          <w:lang w:val="ro-RO"/>
        </w:rPr>
        <w:t>Justiţiei</w:t>
      </w:r>
      <w:proofErr w:type="spellEnd"/>
      <w:r w:rsidR="0063590C">
        <w:rPr>
          <w:rFonts w:eastAsia="Calibri"/>
          <w:color w:val="000000" w:themeColor="text1"/>
          <w:lang w:val="ro-RO"/>
        </w:rPr>
        <w:t>, cu completările ulterioare;</w:t>
      </w:r>
    </w:p>
    <w:p w:rsidR="00460027" w:rsidRPr="00DE76B5" w:rsidRDefault="00460027" w:rsidP="00DE76B5">
      <w:pPr>
        <w:numPr>
          <w:ilvl w:val="0"/>
          <w:numId w:val="15"/>
        </w:numPr>
        <w:spacing w:after="0"/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>Legea n</w:t>
      </w:r>
      <w:r w:rsidR="00D27236" w:rsidRPr="00DE76B5">
        <w:rPr>
          <w:rFonts w:eastAsia="Calibri"/>
          <w:color w:val="000000" w:themeColor="text1"/>
          <w:lang w:val="ro-RO"/>
        </w:rPr>
        <w:t>r. 286/2009 privind Codul penal.</w:t>
      </w:r>
    </w:p>
    <w:p w:rsidR="00460027" w:rsidRPr="00DE76B5" w:rsidRDefault="00460027" w:rsidP="00DE76B5">
      <w:pPr>
        <w:numPr>
          <w:ilvl w:val="0"/>
          <w:numId w:val="15"/>
        </w:numPr>
        <w:spacing w:after="0"/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>Legea nr. 135/2010 pr</w:t>
      </w:r>
      <w:r w:rsidR="00D27236" w:rsidRPr="00DE76B5">
        <w:rPr>
          <w:rFonts w:eastAsia="Calibri"/>
          <w:color w:val="000000" w:themeColor="text1"/>
          <w:lang w:val="ro-RO"/>
        </w:rPr>
        <w:t>ivind Codul de procedură penală.</w:t>
      </w:r>
    </w:p>
    <w:p w:rsidR="002176EF" w:rsidRPr="00DE76B5" w:rsidRDefault="002176EF" w:rsidP="00DE76B5">
      <w:pPr>
        <w:numPr>
          <w:ilvl w:val="0"/>
          <w:numId w:val="15"/>
        </w:numPr>
        <w:spacing w:after="0"/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>Legea nr. 544/2001 privind liberul acces la informațiile de interes public.</w:t>
      </w:r>
    </w:p>
    <w:p w:rsidR="002176EF" w:rsidRPr="00DE76B5" w:rsidRDefault="002176EF" w:rsidP="00DE76B5">
      <w:pPr>
        <w:numPr>
          <w:ilvl w:val="0"/>
          <w:numId w:val="15"/>
        </w:numPr>
        <w:spacing w:after="0"/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 xml:space="preserve">Hotărârea Guvernului nr. 123 din 7 februarie 2002 pentru aprobarea Normelor metodologice de aplicare a Legii nr. 544/2001 privind liberul acces la informațiile de interes public. </w:t>
      </w:r>
    </w:p>
    <w:p w:rsidR="00460027" w:rsidRPr="00DE76B5" w:rsidRDefault="00460027" w:rsidP="00DE76B5">
      <w:pPr>
        <w:numPr>
          <w:ilvl w:val="0"/>
          <w:numId w:val="15"/>
        </w:numPr>
        <w:spacing w:after="0"/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>Legea nr. 302/2004 privind cooperarea judiciară i</w:t>
      </w:r>
      <w:r w:rsidR="00D27236" w:rsidRPr="00DE76B5">
        <w:rPr>
          <w:rFonts w:eastAsia="Calibri"/>
          <w:color w:val="000000" w:themeColor="text1"/>
          <w:lang w:val="ro-RO"/>
        </w:rPr>
        <w:t>nternaţională în materie penală.</w:t>
      </w:r>
    </w:p>
    <w:p w:rsidR="00460027" w:rsidRPr="00DE76B5" w:rsidRDefault="00460027" w:rsidP="00DE76B5">
      <w:pPr>
        <w:numPr>
          <w:ilvl w:val="0"/>
          <w:numId w:val="15"/>
        </w:numPr>
        <w:spacing w:after="0"/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 xml:space="preserve">Hotărârea Guvernului nr. 585/2002 </w:t>
      </w:r>
      <w:r w:rsidRPr="00DE76B5">
        <w:rPr>
          <w:rFonts w:eastAsia="Calibri" w:cs="Arial"/>
          <w:bCs/>
          <w:color w:val="000000" w:themeColor="text1"/>
          <w:shd w:val="clear" w:color="auto" w:fill="FFFFFF"/>
          <w:lang w:val="ro-RO"/>
        </w:rPr>
        <w:t>pentru aprobarea Standardelor naţionale de protecţie a informaţiilor clasificate în România</w:t>
      </w:r>
      <w:r w:rsidR="00D27236" w:rsidRPr="00DE76B5">
        <w:rPr>
          <w:rFonts w:eastAsia="Calibri"/>
          <w:color w:val="000000" w:themeColor="text1"/>
          <w:lang w:val="ro-RO"/>
        </w:rPr>
        <w:t>.</w:t>
      </w:r>
    </w:p>
    <w:p w:rsidR="00460027" w:rsidRPr="00DE76B5" w:rsidRDefault="00460027" w:rsidP="00DE76B5">
      <w:pPr>
        <w:numPr>
          <w:ilvl w:val="0"/>
          <w:numId w:val="15"/>
        </w:numPr>
        <w:spacing w:after="0"/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>Hotărârea Guvernului nr. 1349/2002 privind colectarea, transportul, distribuirea și protecția, pe teritoriul Românie</w:t>
      </w:r>
      <w:r w:rsidR="00D27236" w:rsidRPr="00DE76B5">
        <w:rPr>
          <w:rFonts w:eastAsia="Calibri"/>
          <w:color w:val="000000" w:themeColor="text1"/>
          <w:lang w:val="ro-RO"/>
        </w:rPr>
        <w:t>i, a corespondenței clasificate.</w:t>
      </w:r>
    </w:p>
    <w:p w:rsidR="00460027" w:rsidRPr="00DE76B5" w:rsidRDefault="00460027" w:rsidP="00DE76B5">
      <w:pPr>
        <w:numPr>
          <w:ilvl w:val="0"/>
          <w:numId w:val="15"/>
        </w:numPr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 xml:space="preserve">Regulamentul general al Uniunii Europene </w:t>
      </w:r>
      <w:r w:rsidR="0054710F" w:rsidRPr="00DE76B5">
        <w:rPr>
          <w:rFonts w:eastAsia="Calibri"/>
          <w:color w:val="000000" w:themeColor="text1"/>
          <w:lang w:val="ro-RO"/>
        </w:rPr>
        <w:t>privind protecţia persoanelor fizice în ceea ce priveşte prelucrarea datelor cu caracter personal şi privind libera circulaţie a acestor date şi de abrogare a Directivei 95/46/CE (Regulamentul general privind protecţia datelor)</w:t>
      </w:r>
      <w:r w:rsidRPr="00DE76B5">
        <w:rPr>
          <w:rFonts w:eastAsia="Calibri"/>
          <w:color w:val="000000" w:themeColor="text1"/>
          <w:lang w:val="ro-RO"/>
        </w:rPr>
        <w:t>.</w:t>
      </w:r>
    </w:p>
    <w:p w:rsidR="00460027" w:rsidRPr="00DE76B5" w:rsidRDefault="00460027" w:rsidP="00DE76B5">
      <w:pPr>
        <w:ind w:left="-284"/>
        <w:rPr>
          <w:b/>
          <w:color w:val="000000" w:themeColor="text1"/>
          <w:lang w:val="ro-RO"/>
        </w:rPr>
      </w:pPr>
      <w:r w:rsidRPr="00DE76B5">
        <w:rPr>
          <w:b/>
          <w:color w:val="000000" w:themeColor="text1"/>
          <w:lang w:val="ro-RO"/>
        </w:rPr>
        <w:t xml:space="preserve">       Tematică:</w:t>
      </w:r>
    </w:p>
    <w:p w:rsidR="00024593" w:rsidRPr="00DE76B5" w:rsidRDefault="00024593" w:rsidP="00DE76B5">
      <w:pPr>
        <w:numPr>
          <w:ilvl w:val="0"/>
          <w:numId w:val="16"/>
        </w:numPr>
        <w:spacing w:after="0"/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>Constituția României.</w:t>
      </w:r>
    </w:p>
    <w:p w:rsidR="00445959" w:rsidRPr="00DE76B5" w:rsidRDefault="00814F1F" w:rsidP="00DE76B5">
      <w:pPr>
        <w:numPr>
          <w:ilvl w:val="0"/>
          <w:numId w:val="16"/>
        </w:numPr>
        <w:spacing w:after="0"/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>Titlurile</w:t>
      </w:r>
      <w:r w:rsidR="00445959" w:rsidRPr="00DE76B5">
        <w:rPr>
          <w:rFonts w:eastAsia="Calibri"/>
          <w:color w:val="000000" w:themeColor="text1"/>
          <w:lang w:val="ro-RO"/>
        </w:rPr>
        <w:t xml:space="preserve"> I şi II ale Părţii a VI-a din </w:t>
      </w:r>
      <w:r w:rsidR="00E83985" w:rsidRPr="00DE76B5">
        <w:rPr>
          <w:rFonts w:eastAsia="Calibri"/>
          <w:color w:val="000000" w:themeColor="text1"/>
          <w:lang w:val="ro-RO"/>
        </w:rPr>
        <w:t>Ordonanța de urgență a Guvernului</w:t>
      </w:r>
      <w:r w:rsidR="00D164D4" w:rsidRPr="00DE76B5">
        <w:rPr>
          <w:rFonts w:eastAsia="Calibri"/>
          <w:color w:val="000000" w:themeColor="text1"/>
          <w:lang w:val="ro-RO"/>
        </w:rPr>
        <w:t xml:space="preserve"> nr. 57/2019</w:t>
      </w:r>
      <w:r w:rsidR="00445959" w:rsidRPr="00DE76B5">
        <w:rPr>
          <w:rFonts w:eastAsia="Calibri"/>
          <w:color w:val="000000" w:themeColor="text1"/>
          <w:lang w:val="ro-RO"/>
        </w:rPr>
        <w:t>.</w:t>
      </w:r>
    </w:p>
    <w:p w:rsidR="00445959" w:rsidRPr="00DE76B5" w:rsidRDefault="00D4492D" w:rsidP="00DE76B5">
      <w:pPr>
        <w:numPr>
          <w:ilvl w:val="0"/>
          <w:numId w:val="16"/>
        </w:numPr>
        <w:spacing w:after="0"/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>Ordonanţa Guvernului nr. 137/2000 privind prevenirea şi sancţionarea tuturor formelor de discriminare.</w:t>
      </w:r>
    </w:p>
    <w:p w:rsidR="00D4492D" w:rsidRPr="00DE76B5" w:rsidRDefault="00D4492D" w:rsidP="00DE76B5">
      <w:pPr>
        <w:numPr>
          <w:ilvl w:val="0"/>
          <w:numId w:val="16"/>
        </w:numPr>
        <w:spacing w:after="0"/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>Legea nr. 202/2002 privind egalitatea de şanse şi de tratament între femei şi bărbaţi.</w:t>
      </w:r>
    </w:p>
    <w:p w:rsidR="00D164D4" w:rsidRPr="00DE76B5" w:rsidRDefault="00D164D4" w:rsidP="00DE76B5">
      <w:pPr>
        <w:pStyle w:val="ListParagraph"/>
        <w:numPr>
          <w:ilvl w:val="0"/>
          <w:numId w:val="16"/>
        </w:numPr>
        <w:spacing w:after="0"/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>Reglementarea activității d</w:t>
      </w:r>
      <w:r w:rsidR="00E83985" w:rsidRPr="00DE76B5">
        <w:rPr>
          <w:rFonts w:eastAsia="Calibri"/>
          <w:color w:val="000000" w:themeColor="text1"/>
          <w:lang w:val="ro-RO"/>
        </w:rPr>
        <w:t>e soluționare a petițiilor (Ordonanța Guvernului</w:t>
      </w:r>
      <w:r w:rsidRPr="00DE76B5">
        <w:rPr>
          <w:rFonts w:eastAsia="Calibri"/>
          <w:color w:val="000000" w:themeColor="text1"/>
          <w:lang w:val="ro-RO"/>
        </w:rPr>
        <w:t xml:space="preserve"> nr. 27/2002).</w:t>
      </w:r>
    </w:p>
    <w:p w:rsidR="00460027" w:rsidRPr="00DE76B5" w:rsidRDefault="00460027" w:rsidP="00DE76B5">
      <w:pPr>
        <w:pStyle w:val="ListParagraph"/>
        <w:numPr>
          <w:ilvl w:val="0"/>
          <w:numId w:val="16"/>
        </w:numPr>
        <w:spacing w:after="0"/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 xml:space="preserve">Organizarea şi funcţionarea ANABI. Atribuţiile ANABI (Legea </w:t>
      </w:r>
      <w:r w:rsidR="00E83985" w:rsidRPr="00DE76B5">
        <w:rPr>
          <w:rFonts w:eastAsia="Calibri"/>
          <w:color w:val="000000" w:themeColor="text1"/>
          <w:lang w:val="ro-RO"/>
        </w:rPr>
        <w:t>nr. 318/2015, Hotărârea Guvernului</w:t>
      </w:r>
      <w:r w:rsidR="00D4492D" w:rsidRPr="00DE76B5">
        <w:rPr>
          <w:rFonts w:eastAsia="Calibri"/>
          <w:color w:val="000000" w:themeColor="text1"/>
          <w:lang w:val="ro-RO"/>
        </w:rPr>
        <w:t xml:space="preserve"> nr. 358/2016).</w:t>
      </w:r>
    </w:p>
    <w:p w:rsidR="00D164D4" w:rsidRPr="00DE76B5" w:rsidRDefault="00D164D4" w:rsidP="00DE76B5">
      <w:pPr>
        <w:pStyle w:val="ListParagraph"/>
        <w:numPr>
          <w:ilvl w:val="0"/>
          <w:numId w:val="16"/>
        </w:numPr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>Măsuri de siguranţă. Infracţiuni de corupţie şi de serviciu (Legea nr. 286/2009).</w:t>
      </w:r>
    </w:p>
    <w:p w:rsidR="00D164D4" w:rsidRPr="00DE76B5" w:rsidRDefault="00D164D4" w:rsidP="00DE76B5">
      <w:pPr>
        <w:pStyle w:val="ListParagraph"/>
        <w:numPr>
          <w:ilvl w:val="0"/>
          <w:numId w:val="16"/>
        </w:numPr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>Acţiunea penală. Acţiunea civilă. Părţile şi subiecţii procesuali principali. Probele</w:t>
      </w:r>
      <w:r w:rsidR="00814F1F" w:rsidRPr="00DE76B5">
        <w:rPr>
          <w:rFonts w:eastAsia="Calibri"/>
          <w:color w:val="000000" w:themeColor="text1"/>
          <w:lang w:val="ro-RO"/>
        </w:rPr>
        <w:t xml:space="preserve">: </w:t>
      </w:r>
      <w:r w:rsidRPr="00DE76B5">
        <w:rPr>
          <w:rFonts w:eastAsia="Calibri"/>
          <w:color w:val="000000" w:themeColor="text1"/>
          <w:lang w:val="ro-RO"/>
        </w:rPr>
        <w:t>reguli</w:t>
      </w:r>
      <w:r w:rsidR="00814F1F" w:rsidRPr="00DE76B5">
        <w:rPr>
          <w:rFonts w:eastAsia="Calibri"/>
          <w:color w:val="000000" w:themeColor="text1"/>
          <w:lang w:val="ro-RO"/>
        </w:rPr>
        <w:t xml:space="preserve"> </w:t>
      </w:r>
      <w:r w:rsidRPr="00DE76B5">
        <w:rPr>
          <w:rFonts w:eastAsia="Calibri"/>
          <w:color w:val="000000" w:themeColor="text1"/>
          <w:lang w:val="ro-RO"/>
        </w:rPr>
        <w:t xml:space="preserve">generale. </w:t>
      </w:r>
      <w:r w:rsidR="00E83985" w:rsidRPr="00DE76B5">
        <w:rPr>
          <w:rFonts w:eastAsia="Calibri"/>
          <w:color w:val="000000" w:themeColor="text1"/>
          <w:lang w:val="ro-RO"/>
        </w:rPr>
        <w:t>Percheziția domiciliară</w:t>
      </w:r>
      <w:r w:rsidRPr="00DE76B5">
        <w:rPr>
          <w:rFonts w:eastAsia="Calibri"/>
          <w:color w:val="000000" w:themeColor="text1"/>
          <w:lang w:val="ro-RO"/>
        </w:rPr>
        <w:t>: procesul-verbal de percheziţie, măsuri privind obiectele ori înscrisurile ridicate, conservarea sau valorificarea obiectelor ridicate. Ridicarea de obiecte şi înscrisuri. Înscrisurile. Măsurile asigur</w:t>
      </w:r>
      <w:r w:rsidR="00E83985" w:rsidRPr="00DE76B5">
        <w:rPr>
          <w:rFonts w:eastAsia="Calibri"/>
          <w:color w:val="000000" w:themeColor="text1"/>
          <w:lang w:val="ro-RO"/>
        </w:rPr>
        <w:t>ă</w:t>
      </w:r>
      <w:r w:rsidRPr="00DE76B5">
        <w:rPr>
          <w:rFonts w:eastAsia="Calibri"/>
          <w:color w:val="000000" w:themeColor="text1"/>
          <w:lang w:val="ro-RO"/>
        </w:rPr>
        <w:t>torii. Restituirea lucrurilor. Termenele. Modificarea actelor de procedur</w:t>
      </w:r>
      <w:r w:rsidR="00E83985" w:rsidRPr="00DE76B5">
        <w:rPr>
          <w:rFonts w:eastAsia="Calibri"/>
          <w:color w:val="000000" w:themeColor="text1"/>
          <w:lang w:val="ro-RO"/>
        </w:rPr>
        <w:t>ă</w:t>
      </w:r>
      <w:r w:rsidR="00241897" w:rsidRPr="00DE76B5">
        <w:rPr>
          <w:rFonts w:eastAsia="Calibri"/>
          <w:color w:val="000000" w:themeColor="text1"/>
          <w:lang w:val="ro-RO"/>
        </w:rPr>
        <w:t>. Rezolvarea acț</w:t>
      </w:r>
      <w:r w:rsidRPr="00DE76B5">
        <w:rPr>
          <w:rFonts w:eastAsia="Calibri"/>
          <w:color w:val="000000" w:themeColor="text1"/>
          <w:lang w:val="ro-RO"/>
        </w:rPr>
        <w:t>iunii civile. Executarea hotărârilor penale: dispoziţii generale; executarea confiscării speciale sau extinse; punerea în executare a dispoziţiilor civile din hotărâre (Legea nr. 135/2010).</w:t>
      </w:r>
    </w:p>
    <w:p w:rsidR="002176EF" w:rsidRPr="00DE76B5" w:rsidRDefault="002176EF" w:rsidP="00DE76B5">
      <w:pPr>
        <w:pStyle w:val="ListParagraph"/>
        <w:numPr>
          <w:ilvl w:val="0"/>
          <w:numId w:val="16"/>
        </w:numPr>
        <w:spacing w:after="0"/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>Liberul acces la informaţiile de interes public (Legea nr. 544/2001, Hotărârea Guvernului nr. 123/2002).</w:t>
      </w:r>
    </w:p>
    <w:p w:rsidR="00D164D4" w:rsidRPr="00DE76B5" w:rsidRDefault="009D4508" w:rsidP="00DE76B5">
      <w:pPr>
        <w:pStyle w:val="ListParagraph"/>
        <w:numPr>
          <w:ilvl w:val="0"/>
          <w:numId w:val="16"/>
        </w:numPr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 xml:space="preserve">Cooperarea judiciară internațională în materie penală: </w:t>
      </w:r>
      <w:r w:rsidR="007A3AB1" w:rsidRPr="00DE76B5">
        <w:rPr>
          <w:rFonts w:eastAsia="Calibri"/>
          <w:color w:val="000000" w:themeColor="text1"/>
          <w:lang w:val="ro-RO"/>
        </w:rPr>
        <w:t xml:space="preserve">Titlul I – Dispoziții generale, Titlul IV – Transferul de proceduri în materie penală, Titlul VIII – Asistenţa judiciară în materie penală </w:t>
      </w:r>
      <w:r w:rsidR="00D164D4" w:rsidRPr="00DE76B5">
        <w:rPr>
          <w:rFonts w:eastAsia="Calibri"/>
          <w:color w:val="000000" w:themeColor="text1"/>
          <w:lang w:val="ro-RO"/>
        </w:rPr>
        <w:t>(Legea nr. 302/2004).</w:t>
      </w:r>
    </w:p>
    <w:p w:rsidR="002176EF" w:rsidRPr="00DE76B5" w:rsidRDefault="00D164D4" w:rsidP="00DE76B5">
      <w:pPr>
        <w:pStyle w:val="ListParagraph"/>
        <w:numPr>
          <w:ilvl w:val="0"/>
          <w:numId w:val="16"/>
        </w:numPr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 xml:space="preserve">Protecţia informaţiilor clasificate: Clasificarea informaţiilor. Declasificarea şi trecerea informaţiilor clasificate la un nivel inferior de secretizare. Măsuri minime de protecţie a informaţiilor clasificate. Accesul la informaţiile clasificate. Reguli generale privind evidența, întocmirea, păstrarea, procesarea, multiplicarea, manipularea, transportul, transmiterea şi distrugerea informaţiilor clasificate. Colectarea, transportul, distribuirea şi protecţia, pe teritoriul României, a </w:t>
      </w:r>
      <w:r w:rsidR="00E83985" w:rsidRPr="00DE76B5">
        <w:rPr>
          <w:rFonts w:eastAsia="Calibri"/>
          <w:color w:val="000000" w:themeColor="text1"/>
          <w:lang w:val="ro-RO"/>
        </w:rPr>
        <w:t>corespondenţei clasificate (Hotărârea Guvernului</w:t>
      </w:r>
      <w:r w:rsidRPr="00DE76B5">
        <w:rPr>
          <w:rFonts w:eastAsia="Calibri"/>
          <w:color w:val="000000" w:themeColor="text1"/>
          <w:lang w:val="ro-RO"/>
        </w:rPr>
        <w:t xml:space="preserve"> nr. </w:t>
      </w:r>
      <w:r w:rsidR="00E83985" w:rsidRPr="00DE76B5">
        <w:rPr>
          <w:rFonts w:eastAsia="Calibri"/>
          <w:color w:val="000000" w:themeColor="text1"/>
          <w:lang w:val="ro-RO"/>
        </w:rPr>
        <w:t>585/2002 şi Hotărârea Guvernului</w:t>
      </w:r>
      <w:r w:rsidRPr="00DE76B5">
        <w:rPr>
          <w:rFonts w:eastAsia="Calibri"/>
          <w:color w:val="000000" w:themeColor="text1"/>
          <w:lang w:val="ro-RO"/>
        </w:rPr>
        <w:t xml:space="preserve"> nr. 1349/2002).</w:t>
      </w:r>
    </w:p>
    <w:p w:rsidR="00460027" w:rsidRPr="00DE76B5" w:rsidRDefault="00460027" w:rsidP="00DE76B5">
      <w:pPr>
        <w:pStyle w:val="ListParagraph"/>
        <w:numPr>
          <w:ilvl w:val="0"/>
          <w:numId w:val="16"/>
        </w:numPr>
        <w:rPr>
          <w:rFonts w:eastAsia="Calibri"/>
          <w:color w:val="000000" w:themeColor="text1"/>
          <w:lang w:val="ro-RO"/>
        </w:rPr>
      </w:pPr>
      <w:r w:rsidRPr="00DE76B5">
        <w:rPr>
          <w:rFonts w:eastAsia="Calibri"/>
          <w:color w:val="000000" w:themeColor="text1"/>
          <w:lang w:val="ro-RO"/>
        </w:rPr>
        <w:t>Protecția persoanelor cu privire la prelucrarea datelor cu caracter personal și libera circulație a acestor d</w:t>
      </w:r>
      <w:r w:rsidR="009D4508" w:rsidRPr="00DE76B5">
        <w:rPr>
          <w:rFonts w:eastAsia="Calibri"/>
          <w:color w:val="000000" w:themeColor="text1"/>
          <w:lang w:val="ro-RO"/>
        </w:rPr>
        <w:t>ate (Regulamentul (UE) 2016/679)</w:t>
      </w:r>
      <w:r w:rsidR="00D164D4" w:rsidRPr="00DE76B5">
        <w:rPr>
          <w:rFonts w:eastAsia="Calibri"/>
          <w:color w:val="000000" w:themeColor="text1"/>
          <w:lang w:val="ro-RO"/>
        </w:rPr>
        <w:t>.</w:t>
      </w:r>
    </w:p>
    <w:p w:rsidR="00331361" w:rsidRPr="00DE76B5" w:rsidRDefault="00460027" w:rsidP="00DE76B5">
      <w:pPr>
        <w:ind w:left="0"/>
        <w:rPr>
          <w:color w:val="000000" w:themeColor="text1"/>
          <w:lang w:val="ro-RO"/>
        </w:rPr>
      </w:pPr>
      <w:r w:rsidRPr="00DE76B5">
        <w:rPr>
          <w:color w:val="000000" w:themeColor="text1"/>
          <w:lang w:val="ro-RO"/>
        </w:rPr>
        <w:t xml:space="preserve">NOTĂ: </w:t>
      </w:r>
    </w:p>
    <w:p w:rsidR="00460027" w:rsidRPr="00DE76B5" w:rsidRDefault="00460027" w:rsidP="00DE76B5">
      <w:pPr>
        <w:ind w:left="0"/>
        <w:rPr>
          <w:b/>
          <w:color w:val="000000" w:themeColor="text1"/>
          <w:lang w:val="ro-RO"/>
        </w:rPr>
      </w:pPr>
      <w:r w:rsidRPr="00DE76B5">
        <w:rPr>
          <w:b/>
          <w:color w:val="000000" w:themeColor="text1"/>
          <w:lang w:val="ro-RO"/>
        </w:rPr>
        <w:t>În vederea pregătirii pentru concurs, candidaţii vor consulta bibliografia indicată, în forma actuali</w:t>
      </w:r>
      <w:r w:rsidR="00D164D4" w:rsidRPr="00DE76B5">
        <w:rPr>
          <w:b/>
          <w:color w:val="000000" w:themeColor="text1"/>
          <w:lang w:val="ro-RO"/>
        </w:rPr>
        <w:t>zată, în vigoare la data publică</w:t>
      </w:r>
      <w:r w:rsidRPr="00DE76B5">
        <w:rPr>
          <w:b/>
          <w:color w:val="000000" w:themeColor="text1"/>
          <w:lang w:val="ro-RO"/>
        </w:rPr>
        <w:t xml:space="preserve">rii </w:t>
      </w:r>
      <w:r w:rsidR="00D164D4" w:rsidRPr="00DE76B5">
        <w:rPr>
          <w:b/>
          <w:color w:val="000000" w:themeColor="text1"/>
          <w:lang w:val="ro-RO"/>
        </w:rPr>
        <w:t>anunțului</w:t>
      </w:r>
      <w:r w:rsidRPr="00DE76B5">
        <w:rPr>
          <w:b/>
          <w:color w:val="000000" w:themeColor="text1"/>
          <w:lang w:val="ro-RO"/>
        </w:rPr>
        <w:t xml:space="preserve"> de concurs.</w:t>
      </w:r>
      <w:r w:rsidR="00C45D25" w:rsidRPr="00DE76B5">
        <w:rPr>
          <w:b/>
          <w:color w:val="000000" w:themeColor="text1"/>
          <w:lang w:val="ro-RO"/>
        </w:rPr>
        <w:t xml:space="preserve"> </w:t>
      </w:r>
      <w:r w:rsidRPr="00DE76B5">
        <w:rPr>
          <w:b/>
          <w:color w:val="000000" w:themeColor="text1"/>
          <w:lang w:val="ro-RO"/>
        </w:rPr>
        <w:t>Actele normative menţionate pentru care nu sunt specificate titluri sau capitole vor fi studiate în întregime</w:t>
      </w:r>
      <w:r w:rsidR="00DE6BCE" w:rsidRPr="00DE76B5">
        <w:rPr>
          <w:b/>
          <w:color w:val="000000" w:themeColor="text1"/>
          <w:lang w:val="ro-RO"/>
        </w:rPr>
        <w:t>.</w:t>
      </w:r>
    </w:p>
    <w:p w:rsidR="00070F0F" w:rsidRPr="00DE76B5" w:rsidRDefault="00C87863" w:rsidP="00DE76B5">
      <w:pPr>
        <w:spacing w:after="0"/>
        <w:ind w:left="0"/>
        <w:rPr>
          <w:color w:val="000000" w:themeColor="text1"/>
          <w:lang w:val="ro-RO"/>
        </w:rPr>
      </w:pPr>
      <w:r w:rsidRPr="00DE76B5">
        <w:rPr>
          <w:color w:val="000000" w:themeColor="text1"/>
          <w:lang w:val="ro-RO"/>
        </w:rPr>
        <w:t xml:space="preserve">     </w:t>
      </w:r>
    </w:p>
    <w:p w:rsidR="00085DCD" w:rsidRDefault="00085DCD" w:rsidP="00085DCD">
      <w:pPr>
        <w:spacing w:after="0" w:line="240" w:lineRule="auto"/>
        <w:ind w:left="0"/>
        <w:rPr>
          <w:lang w:val="ro-RO"/>
        </w:rPr>
      </w:pPr>
    </w:p>
    <w:p w:rsidR="00085DCD" w:rsidRDefault="00085DCD" w:rsidP="003D27F8">
      <w:pPr>
        <w:spacing w:after="0" w:line="240" w:lineRule="auto"/>
        <w:ind w:left="0"/>
        <w:rPr>
          <w:sz w:val="20"/>
          <w:szCs w:val="20"/>
          <w:lang w:val="ro-RO"/>
        </w:rPr>
      </w:pPr>
    </w:p>
    <w:sectPr w:rsidR="00085DCD" w:rsidSect="00BF0D2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843" w:bottom="1276" w:left="1350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9CE" w:rsidRDefault="00F069CE" w:rsidP="00CD5B3B">
      <w:r>
        <w:separator/>
      </w:r>
    </w:p>
  </w:endnote>
  <w:endnote w:type="continuationSeparator" w:id="0">
    <w:p w:rsidR="00F069CE" w:rsidRDefault="00F069CE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39"/>
      <w:gridCol w:w="5900"/>
      <w:gridCol w:w="3969"/>
    </w:tblGrid>
    <w:tr w:rsidR="00C96F3E" w:rsidRPr="00871729" w:rsidTr="00C96F3E">
      <w:tc>
        <w:tcPr>
          <w:tcW w:w="1566" w:type="dxa"/>
          <w:tcBorders>
            <w:top w:val="nil"/>
          </w:tcBorders>
          <w:shd w:val="clear" w:color="auto" w:fill="auto"/>
        </w:tcPr>
        <w:p w:rsidR="00C96F3E" w:rsidRPr="00871729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5986" w:type="dxa"/>
          <w:shd w:val="clear" w:color="auto" w:fill="auto"/>
        </w:tcPr>
        <w:sdt>
          <w:sdtPr>
            <w:rPr>
              <w:lang w:val="ro-RO"/>
            </w:rPr>
            <w:id w:val="-918785117"/>
            <w:docPartObj>
              <w:docPartGallery w:val="Page Numbers (Top of Page)"/>
              <w:docPartUnique/>
            </w:docPartObj>
          </w:sdtPr>
          <w:sdtEndPr/>
          <w:sdtContent>
            <w:p w:rsidR="00194415" w:rsidRPr="00871729" w:rsidRDefault="00C96F3E" w:rsidP="00C96F3E">
              <w:pPr>
                <w:spacing w:after="0" w:line="240" w:lineRule="auto"/>
                <w:ind w:left="0"/>
                <w:rPr>
                  <w:sz w:val="16"/>
                  <w:szCs w:val="16"/>
                  <w:lang w:val="ro-RO"/>
                </w:rPr>
              </w:pPr>
              <w:r w:rsidRPr="00871729">
                <w:rPr>
                  <w:color w:val="000000" w:themeColor="text1"/>
                  <w:sz w:val="16"/>
                  <w:szCs w:val="16"/>
                  <w:lang w:val="ro-RO"/>
                </w:rPr>
                <w:t>Bd. Regina Elisabeta nr. 3, etajele 3 și 5, sector 3</w:t>
              </w:r>
              <w:r w:rsidR="00871729">
                <w:rPr>
                  <w:color w:val="000000" w:themeColor="text1"/>
                  <w:sz w:val="16"/>
                  <w:szCs w:val="16"/>
                  <w:lang w:val="ro-RO"/>
                </w:rPr>
                <w:t>,</w:t>
              </w:r>
              <w:r w:rsidRPr="00871729">
                <w:rPr>
                  <w:color w:val="000000" w:themeColor="text1"/>
                  <w:sz w:val="16"/>
                  <w:szCs w:val="16"/>
                  <w:lang w:val="ro-RO"/>
                </w:rPr>
                <w:t xml:space="preserve"> Bucureşti, România</w:t>
              </w:r>
              <w:r w:rsidRPr="00871729">
                <w:rPr>
                  <w:sz w:val="16"/>
                  <w:szCs w:val="16"/>
                  <w:lang w:val="ro-RO"/>
                </w:rPr>
                <w:t xml:space="preserve"> </w:t>
              </w:r>
            </w:p>
            <w:p w:rsidR="00C96F3E" w:rsidRPr="00871729" w:rsidRDefault="00C96F3E" w:rsidP="00C96F3E">
              <w:pPr>
                <w:spacing w:after="0" w:line="240" w:lineRule="auto"/>
                <w:ind w:left="0"/>
                <w:rPr>
                  <w:color w:val="000000" w:themeColor="text1"/>
                  <w:sz w:val="16"/>
                  <w:szCs w:val="16"/>
                  <w:lang w:val="ro-RO"/>
                </w:rPr>
              </w:pPr>
              <w:r w:rsidRPr="00871729">
                <w:rPr>
                  <w:color w:val="000000" w:themeColor="text1"/>
                  <w:sz w:val="16"/>
                  <w:szCs w:val="16"/>
                  <w:lang w:val="ro-RO"/>
                </w:rPr>
                <w:t>Tel.</w:t>
              </w:r>
              <w:r w:rsidR="00871729">
                <w:rPr>
                  <w:color w:val="000000" w:themeColor="text1"/>
                  <w:sz w:val="16"/>
                  <w:szCs w:val="16"/>
                  <w:lang w:val="ro-RO"/>
                </w:rPr>
                <w:t>:</w:t>
              </w:r>
              <w:r w:rsidRPr="00871729">
                <w:rPr>
                  <w:color w:val="000000" w:themeColor="text1"/>
                  <w:sz w:val="16"/>
                  <w:szCs w:val="16"/>
                  <w:lang w:val="ro-RO"/>
                </w:rPr>
                <w:t xml:space="preserve"> +4 037 2573000; Fax</w:t>
              </w:r>
              <w:r w:rsidR="00871729">
                <w:rPr>
                  <w:color w:val="000000" w:themeColor="text1"/>
                  <w:sz w:val="16"/>
                  <w:szCs w:val="16"/>
                  <w:lang w:val="ro-RO"/>
                </w:rPr>
                <w:t>: +4 037 2271435; Email:</w:t>
              </w:r>
              <w:r w:rsidRPr="00871729">
                <w:rPr>
                  <w:color w:val="000000" w:themeColor="text1"/>
                  <w:sz w:val="16"/>
                  <w:szCs w:val="16"/>
                  <w:lang w:val="ro-RO"/>
                </w:rPr>
                <w:t xml:space="preserve"> anabi@just.ro </w:t>
              </w:r>
            </w:p>
            <w:p w:rsidR="00C96F3E" w:rsidRPr="00871729" w:rsidRDefault="00C96F3E" w:rsidP="00C96F3E">
              <w:pPr>
                <w:tabs>
                  <w:tab w:val="center" w:pos="4320"/>
                  <w:tab w:val="right" w:pos="8640"/>
                </w:tabs>
                <w:ind w:left="0"/>
                <w:rPr>
                  <w:lang w:val="ro-RO"/>
                </w:rPr>
              </w:pPr>
              <w:r w:rsidRPr="00871729">
                <w:rPr>
                  <w:color w:val="000000" w:themeColor="text1"/>
                  <w:sz w:val="16"/>
                  <w:szCs w:val="16"/>
                  <w:lang w:val="ro-RO"/>
                </w:rPr>
                <w:t>www.just.ro; https://anabi.just.ro</w:t>
              </w:r>
              <w:r w:rsidRPr="00871729">
                <w:rPr>
                  <w:sz w:val="16"/>
                  <w:szCs w:val="16"/>
                  <w:lang w:val="ro-RO"/>
                </w:rPr>
                <w:t xml:space="preserve"> </w:t>
              </w:r>
            </w:p>
          </w:sdtContent>
        </w:sdt>
        <w:p w:rsidR="00C96F3E" w:rsidRPr="00871729" w:rsidRDefault="00C96F3E" w:rsidP="00C96F3E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  <w:lang w:val="ro-RO"/>
            </w:rPr>
          </w:pPr>
        </w:p>
      </w:tc>
      <w:tc>
        <w:tcPr>
          <w:tcW w:w="4038" w:type="dxa"/>
          <w:shd w:val="clear" w:color="auto" w:fill="auto"/>
        </w:tcPr>
        <w:p w:rsidR="00C96F3E" w:rsidRPr="00871729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ro-RO"/>
            </w:rPr>
          </w:pPr>
          <w:r w:rsidRPr="00871729">
            <w:rPr>
              <w:sz w:val="14"/>
              <w:szCs w:val="14"/>
              <w:lang w:val="ro-RO"/>
            </w:rPr>
            <w:t xml:space="preserve">Pagina </w:t>
          </w:r>
          <w:r w:rsidRPr="00871729">
            <w:rPr>
              <w:sz w:val="14"/>
              <w:szCs w:val="14"/>
              <w:lang w:val="ro-RO"/>
            </w:rPr>
            <w:fldChar w:fldCharType="begin"/>
          </w:r>
          <w:r w:rsidRPr="00871729">
            <w:rPr>
              <w:sz w:val="14"/>
              <w:szCs w:val="14"/>
              <w:lang w:val="ro-RO"/>
            </w:rPr>
            <w:instrText xml:space="preserve"> PAGE </w:instrText>
          </w:r>
          <w:r w:rsidRPr="00871729">
            <w:rPr>
              <w:sz w:val="14"/>
              <w:szCs w:val="14"/>
              <w:lang w:val="ro-RO"/>
            </w:rPr>
            <w:fldChar w:fldCharType="separate"/>
          </w:r>
          <w:r w:rsidR="00DE76B5">
            <w:rPr>
              <w:noProof/>
              <w:sz w:val="14"/>
              <w:szCs w:val="14"/>
              <w:lang w:val="ro-RO"/>
            </w:rPr>
            <w:t>2</w:t>
          </w:r>
          <w:r w:rsidRPr="00871729">
            <w:rPr>
              <w:sz w:val="14"/>
              <w:szCs w:val="14"/>
              <w:lang w:val="ro-RO"/>
            </w:rPr>
            <w:fldChar w:fldCharType="end"/>
          </w:r>
          <w:r w:rsidR="00871729">
            <w:rPr>
              <w:sz w:val="14"/>
              <w:szCs w:val="14"/>
              <w:lang w:val="ro-RO"/>
            </w:rPr>
            <w:t xml:space="preserve"> din </w:t>
          </w:r>
          <w:r w:rsidR="00854407">
            <w:rPr>
              <w:sz w:val="14"/>
              <w:szCs w:val="14"/>
              <w:lang w:val="ro-RO"/>
            </w:rPr>
            <w:t>2</w:t>
          </w:r>
        </w:p>
        <w:p w:rsidR="00C96F3E" w:rsidRPr="00871729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ro-RO"/>
            </w:rPr>
          </w:pPr>
        </w:p>
        <w:p w:rsidR="00C96F3E" w:rsidRPr="00871729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C64AFB" w:rsidRPr="00871729" w:rsidRDefault="00C64AFB">
    <w:pPr>
      <w:rPr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39"/>
      <w:gridCol w:w="5900"/>
      <w:gridCol w:w="3901"/>
    </w:tblGrid>
    <w:tr w:rsidR="00C96F3E" w:rsidRPr="004E6802" w:rsidTr="004B2DF5">
      <w:tc>
        <w:tcPr>
          <w:tcW w:w="1539" w:type="dxa"/>
          <w:tcBorders>
            <w:top w:val="nil"/>
          </w:tcBorders>
          <w:shd w:val="clear" w:color="auto" w:fill="auto"/>
        </w:tcPr>
        <w:p w:rsidR="00C96F3E" w:rsidRPr="004E6802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5900" w:type="dxa"/>
          <w:shd w:val="clear" w:color="auto" w:fill="auto"/>
        </w:tcPr>
        <w:sdt>
          <w:sdtPr>
            <w:rPr>
              <w:lang w:val="ro-RO"/>
            </w:rPr>
            <w:id w:val="1398170471"/>
            <w:docPartObj>
              <w:docPartGallery w:val="Page Numbers (Top of Page)"/>
              <w:docPartUnique/>
            </w:docPartObj>
          </w:sdtPr>
          <w:sdtEndPr/>
          <w:sdtContent>
            <w:p w:rsidR="00EA529A" w:rsidRPr="004E6802" w:rsidRDefault="00C96F3E" w:rsidP="00C96F3E">
              <w:pPr>
                <w:spacing w:after="0" w:line="240" w:lineRule="auto"/>
                <w:ind w:left="0"/>
                <w:rPr>
                  <w:sz w:val="16"/>
                  <w:szCs w:val="16"/>
                  <w:lang w:val="ro-RO"/>
                </w:rPr>
              </w:pPr>
              <w:r w:rsidRPr="004E6802">
                <w:rPr>
                  <w:color w:val="000000" w:themeColor="text1"/>
                  <w:sz w:val="16"/>
                  <w:szCs w:val="16"/>
                  <w:lang w:val="ro-RO"/>
                </w:rPr>
                <w:t>Bd. Regina Elisabeta nr. 3, etajele 3 și 5, sector 3</w:t>
              </w:r>
              <w:r w:rsidR="004E6802">
                <w:rPr>
                  <w:color w:val="000000" w:themeColor="text1"/>
                  <w:sz w:val="16"/>
                  <w:szCs w:val="16"/>
                  <w:lang w:val="ro-RO"/>
                </w:rPr>
                <w:t>,</w:t>
              </w:r>
              <w:r w:rsidRPr="004E6802">
                <w:rPr>
                  <w:color w:val="000000" w:themeColor="text1"/>
                  <w:sz w:val="16"/>
                  <w:szCs w:val="16"/>
                  <w:lang w:val="ro-RO"/>
                </w:rPr>
                <w:t xml:space="preserve"> Bucureşti, România</w:t>
              </w:r>
              <w:r w:rsidR="00EA529A" w:rsidRPr="004E6802">
                <w:rPr>
                  <w:sz w:val="16"/>
                  <w:szCs w:val="16"/>
                  <w:lang w:val="ro-RO"/>
                </w:rPr>
                <w:t xml:space="preserve"> </w:t>
              </w:r>
            </w:p>
            <w:p w:rsidR="00C96F3E" w:rsidRPr="004E6802" w:rsidRDefault="004E6802" w:rsidP="00C96F3E">
              <w:pPr>
                <w:spacing w:after="0" w:line="240" w:lineRule="auto"/>
                <w:ind w:left="0"/>
                <w:rPr>
                  <w:color w:val="000000" w:themeColor="text1"/>
                  <w:sz w:val="16"/>
                  <w:szCs w:val="16"/>
                  <w:lang w:val="ro-RO"/>
                </w:rPr>
              </w:pPr>
              <w:r>
                <w:rPr>
                  <w:color w:val="000000" w:themeColor="text1"/>
                  <w:sz w:val="16"/>
                  <w:szCs w:val="16"/>
                  <w:lang w:val="ro-RO"/>
                </w:rPr>
                <w:t xml:space="preserve">Tel.: </w:t>
              </w:r>
              <w:r w:rsidR="00C96F3E" w:rsidRPr="004E6802">
                <w:rPr>
                  <w:color w:val="000000" w:themeColor="text1"/>
                  <w:sz w:val="16"/>
                  <w:szCs w:val="16"/>
                  <w:lang w:val="ro-RO"/>
                </w:rPr>
                <w:t>+4 037 2573000; Fax</w:t>
              </w:r>
              <w:r>
                <w:rPr>
                  <w:color w:val="000000" w:themeColor="text1"/>
                  <w:sz w:val="16"/>
                  <w:szCs w:val="16"/>
                  <w:lang w:val="ro-RO"/>
                </w:rPr>
                <w:t>: +4 037 2271435; Email:</w:t>
              </w:r>
              <w:r w:rsidR="00C96F3E" w:rsidRPr="004E6802">
                <w:rPr>
                  <w:color w:val="000000" w:themeColor="text1"/>
                  <w:sz w:val="16"/>
                  <w:szCs w:val="16"/>
                  <w:lang w:val="ro-RO"/>
                </w:rPr>
                <w:t xml:space="preserve"> anabi@just.ro </w:t>
              </w:r>
            </w:p>
            <w:p w:rsidR="00C96F3E" w:rsidRPr="004E6802" w:rsidRDefault="00C96F3E" w:rsidP="00C96F3E">
              <w:pPr>
                <w:tabs>
                  <w:tab w:val="center" w:pos="4320"/>
                  <w:tab w:val="right" w:pos="8640"/>
                </w:tabs>
                <w:ind w:left="0"/>
                <w:rPr>
                  <w:lang w:val="ro-RO"/>
                </w:rPr>
              </w:pPr>
              <w:r w:rsidRPr="004E6802">
                <w:rPr>
                  <w:color w:val="000000" w:themeColor="text1"/>
                  <w:sz w:val="16"/>
                  <w:szCs w:val="16"/>
                  <w:lang w:val="ro-RO"/>
                </w:rPr>
                <w:t>www.just.ro; https://anabi.just.ro</w:t>
              </w:r>
              <w:r w:rsidRPr="004E6802">
                <w:rPr>
                  <w:sz w:val="16"/>
                  <w:szCs w:val="16"/>
                  <w:lang w:val="ro-RO"/>
                </w:rPr>
                <w:t xml:space="preserve"> </w:t>
              </w:r>
            </w:p>
          </w:sdtContent>
        </w:sdt>
        <w:p w:rsidR="00C96F3E" w:rsidRPr="004E6802" w:rsidRDefault="00C96F3E" w:rsidP="00C96F3E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  <w:lang w:val="ro-RO"/>
            </w:rPr>
          </w:pPr>
        </w:p>
      </w:tc>
      <w:tc>
        <w:tcPr>
          <w:tcW w:w="3901" w:type="dxa"/>
          <w:shd w:val="clear" w:color="auto" w:fill="auto"/>
        </w:tcPr>
        <w:p w:rsidR="00C96F3E" w:rsidRPr="004E6802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ro-RO"/>
            </w:rPr>
          </w:pPr>
          <w:r w:rsidRPr="004E6802">
            <w:rPr>
              <w:sz w:val="14"/>
              <w:szCs w:val="14"/>
              <w:lang w:val="ro-RO"/>
            </w:rPr>
            <w:t xml:space="preserve">Pagina </w:t>
          </w:r>
          <w:r w:rsidRPr="004E6802">
            <w:rPr>
              <w:sz w:val="14"/>
              <w:szCs w:val="14"/>
              <w:lang w:val="ro-RO"/>
            </w:rPr>
            <w:fldChar w:fldCharType="begin"/>
          </w:r>
          <w:r w:rsidRPr="004E6802">
            <w:rPr>
              <w:sz w:val="14"/>
              <w:szCs w:val="14"/>
              <w:lang w:val="ro-RO"/>
            </w:rPr>
            <w:instrText xml:space="preserve"> PAGE </w:instrText>
          </w:r>
          <w:r w:rsidRPr="004E6802">
            <w:rPr>
              <w:sz w:val="14"/>
              <w:szCs w:val="14"/>
              <w:lang w:val="ro-RO"/>
            </w:rPr>
            <w:fldChar w:fldCharType="separate"/>
          </w:r>
          <w:r w:rsidR="00DE76B5">
            <w:rPr>
              <w:noProof/>
              <w:sz w:val="14"/>
              <w:szCs w:val="14"/>
              <w:lang w:val="ro-RO"/>
            </w:rPr>
            <w:t>1</w:t>
          </w:r>
          <w:r w:rsidRPr="004E6802">
            <w:rPr>
              <w:sz w:val="14"/>
              <w:szCs w:val="14"/>
              <w:lang w:val="ro-RO"/>
            </w:rPr>
            <w:fldChar w:fldCharType="end"/>
          </w:r>
          <w:r w:rsidR="004E6802">
            <w:rPr>
              <w:sz w:val="14"/>
              <w:szCs w:val="14"/>
              <w:lang w:val="ro-RO"/>
            </w:rPr>
            <w:t xml:space="preserve"> din </w:t>
          </w:r>
          <w:r w:rsidR="00854407">
            <w:rPr>
              <w:sz w:val="14"/>
              <w:szCs w:val="14"/>
              <w:lang w:val="ro-RO"/>
            </w:rPr>
            <w:t>2</w:t>
          </w:r>
        </w:p>
        <w:p w:rsidR="00C96F3E" w:rsidRPr="004E6802" w:rsidRDefault="00C96F3E" w:rsidP="00854407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center"/>
            <w:rPr>
              <w:sz w:val="14"/>
              <w:szCs w:val="14"/>
              <w:lang w:val="ro-RO"/>
            </w:rPr>
          </w:pPr>
        </w:p>
        <w:p w:rsidR="00C96F3E" w:rsidRPr="004E6802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C64AFB" w:rsidRPr="004E6802" w:rsidRDefault="00C64AFB" w:rsidP="00C7189F">
    <w:pPr>
      <w:ind w:left="0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9CE" w:rsidRDefault="00F069CE" w:rsidP="00CD5B3B">
      <w:r>
        <w:separator/>
      </w:r>
    </w:p>
  </w:footnote>
  <w:footnote w:type="continuationSeparator" w:id="0">
    <w:p w:rsidR="00F069CE" w:rsidRDefault="00F069CE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0E" w:rsidRDefault="0094530E" w:rsidP="008A4458">
    <w:pPr>
      <w:pStyle w:val="Header"/>
      <w:ind w:left="0"/>
    </w:pPr>
  </w:p>
  <w:p w:rsidR="00E80D5E" w:rsidRPr="00CD5B3B" w:rsidRDefault="00C96F3E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3BFB4A72" wp14:editId="3263BA7A">
          <wp:extent cx="3328416" cy="701040"/>
          <wp:effectExtent l="0" t="0" r="571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abi_logo_vector refacut RO no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5E" w:rsidRDefault="00A83C9E" w:rsidP="000B6E74">
    <w:pPr>
      <w:pStyle w:val="Header"/>
      <w:ind w:left="-630"/>
      <w:jc w:val="left"/>
    </w:pPr>
    <w:r>
      <w:rPr>
        <w:noProof/>
        <w:lang w:val="ro-RO" w:eastAsia="ro-RO"/>
      </w:rPr>
      <w:drawing>
        <wp:inline distT="0" distB="0" distL="0" distR="0">
          <wp:extent cx="4438650" cy="1257300"/>
          <wp:effectExtent l="0" t="0" r="0" b="0"/>
          <wp:docPr id="1" name="Picture 1" descr="anabi_logo_vector refacut stema noua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bi_logo_vector refacut stema noua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875"/>
    <w:multiLevelType w:val="hybridMultilevel"/>
    <w:tmpl w:val="3F54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13AC"/>
    <w:multiLevelType w:val="hybridMultilevel"/>
    <w:tmpl w:val="BC42ACBA"/>
    <w:lvl w:ilvl="0" w:tplc="E12E279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610"/>
    <w:multiLevelType w:val="hybridMultilevel"/>
    <w:tmpl w:val="8C04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63E2"/>
    <w:multiLevelType w:val="hybridMultilevel"/>
    <w:tmpl w:val="1DC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10A9F"/>
    <w:multiLevelType w:val="hybridMultilevel"/>
    <w:tmpl w:val="E748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1504"/>
    <w:multiLevelType w:val="hybridMultilevel"/>
    <w:tmpl w:val="E1D43C7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0E851DC"/>
    <w:multiLevelType w:val="hybridMultilevel"/>
    <w:tmpl w:val="42BA6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0031C"/>
    <w:multiLevelType w:val="hybridMultilevel"/>
    <w:tmpl w:val="CDB079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B6086"/>
    <w:multiLevelType w:val="hybridMultilevel"/>
    <w:tmpl w:val="9F62E8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AC5"/>
    <w:multiLevelType w:val="hybridMultilevel"/>
    <w:tmpl w:val="49CEF8C2"/>
    <w:lvl w:ilvl="0" w:tplc="8C7CE2A4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33BF3"/>
    <w:multiLevelType w:val="hybridMultilevel"/>
    <w:tmpl w:val="310A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C7919"/>
    <w:multiLevelType w:val="hybridMultilevel"/>
    <w:tmpl w:val="E748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F4483"/>
    <w:multiLevelType w:val="hybridMultilevel"/>
    <w:tmpl w:val="1A70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908F8"/>
    <w:multiLevelType w:val="hybridMultilevel"/>
    <w:tmpl w:val="6B16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E1AAD"/>
    <w:multiLevelType w:val="hybridMultilevel"/>
    <w:tmpl w:val="31561664"/>
    <w:lvl w:ilvl="0" w:tplc="9E86F8FA">
      <w:start w:val="2"/>
      <w:numFmt w:val="bullet"/>
      <w:lvlText w:val="-"/>
      <w:lvlJc w:val="left"/>
      <w:pPr>
        <w:ind w:left="1804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12"/>
  </w:num>
  <w:num w:numId="11">
    <w:abstractNumId w:val="3"/>
  </w:num>
  <w:num w:numId="12">
    <w:abstractNumId w:val="14"/>
  </w:num>
  <w:num w:numId="13">
    <w:abstractNumId w:val="4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2B8D"/>
    <w:rsid w:val="000161EF"/>
    <w:rsid w:val="0001784A"/>
    <w:rsid w:val="0002194B"/>
    <w:rsid w:val="00023330"/>
    <w:rsid w:val="00024593"/>
    <w:rsid w:val="00024E06"/>
    <w:rsid w:val="00026AE3"/>
    <w:rsid w:val="00035DF2"/>
    <w:rsid w:val="00036CF6"/>
    <w:rsid w:val="00036EB6"/>
    <w:rsid w:val="00043849"/>
    <w:rsid w:val="00051DCA"/>
    <w:rsid w:val="00056167"/>
    <w:rsid w:val="00062070"/>
    <w:rsid w:val="00067417"/>
    <w:rsid w:val="00070F0F"/>
    <w:rsid w:val="00076275"/>
    <w:rsid w:val="0008241C"/>
    <w:rsid w:val="00085DCD"/>
    <w:rsid w:val="00092B71"/>
    <w:rsid w:val="00097228"/>
    <w:rsid w:val="00097386"/>
    <w:rsid w:val="000A4F90"/>
    <w:rsid w:val="000B1F45"/>
    <w:rsid w:val="000B341F"/>
    <w:rsid w:val="000B4C32"/>
    <w:rsid w:val="000B4F2E"/>
    <w:rsid w:val="000B6E74"/>
    <w:rsid w:val="000C19B6"/>
    <w:rsid w:val="000C29A9"/>
    <w:rsid w:val="000C3EA9"/>
    <w:rsid w:val="000C7905"/>
    <w:rsid w:val="000D022E"/>
    <w:rsid w:val="000D4C30"/>
    <w:rsid w:val="000E5017"/>
    <w:rsid w:val="00100F36"/>
    <w:rsid w:val="00107BDB"/>
    <w:rsid w:val="0012496F"/>
    <w:rsid w:val="00126206"/>
    <w:rsid w:val="001374DB"/>
    <w:rsid w:val="00145FC1"/>
    <w:rsid w:val="00146742"/>
    <w:rsid w:val="00147914"/>
    <w:rsid w:val="00151025"/>
    <w:rsid w:val="00161F9B"/>
    <w:rsid w:val="00164635"/>
    <w:rsid w:val="001667D5"/>
    <w:rsid w:val="00176594"/>
    <w:rsid w:val="00180E72"/>
    <w:rsid w:val="00182ED8"/>
    <w:rsid w:val="001860D6"/>
    <w:rsid w:val="001864C3"/>
    <w:rsid w:val="00186DF6"/>
    <w:rsid w:val="0019037D"/>
    <w:rsid w:val="00190A2F"/>
    <w:rsid w:val="00194415"/>
    <w:rsid w:val="001A038B"/>
    <w:rsid w:val="001A7599"/>
    <w:rsid w:val="001B393B"/>
    <w:rsid w:val="001B3F3A"/>
    <w:rsid w:val="001C05A0"/>
    <w:rsid w:val="001D131D"/>
    <w:rsid w:val="001D5299"/>
    <w:rsid w:val="001E1BAB"/>
    <w:rsid w:val="001E74F2"/>
    <w:rsid w:val="001F41B9"/>
    <w:rsid w:val="00203E28"/>
    <w:rsid w:val="00204958"/>
    <w:rsid w:val="00210936"/>
    <w:rsid w:val="002165F3"/>
    <w:rsid w:val="002176EF"/>
    <w:rsid w:val="00230D4A"/>
    <w:rsid w:val="002350F6"/>
    <w:rsid w:val="00235636"/>
    <w:rsid w:val="002377F3"/>
    <w:rsid w:val="00241897"/>
    <w:rsid w:val="00242145"/>
    <w:rsid w:val="0025711B"/>
    <w:rsid w:val="0027541F"/>
    <w:rsid w:val="002A5742"/>
    <w:rsid w:val="002B2D08"/>
    <w:rsid w:val="002C62AF"/>
    <w:rsid w:val="002D4DC5"/>
    <w:rsid w:val="002E43EB"/>
    <w:rsid w:val="002F2A75"/>
    <w:rsid w:val="002F2BD5"/>
    <w:rsid w:val="003026E9"/>
    <w:rsid w:val="0030273C"/>
    <w:rsid w:val="00306AD9"/>
    <w:rsid w:val="003203D9"/>
    <w:rsid w:val="00323FFA"/>
    <w:rsid w:val="00330846"/>
    <w:rsid w:val="00331361"/>
    <w:rsid w:val="00336015"/>
    <w:rsid w:val="003366E8"/>
    <w:rsid w:val="0035644F"/>
    <w:rsid w:val="003708A8"/>
    <w:rsid w:val="00372DF4"/>
    <w:rsid w:val="00383B89"/>
    <w:rsid w:val="003931B3"/>
    <w:rsid w:val="0039689B"/>
    <w:rsid w:val="003A0B40"/>
    <w:rsid w:val="003A50B5"/>
    <w:rsid w:val="003A5D10"/>
    <w:rsid w:val="003A7081"/>
    <w:rsid w:val="003B19A9"/>
    <w:rsid w:val="003B6A84"/>
    <w:rsid w:val="003B7109"/>
    <w:rsid w:val="003C11E3"/>
    <w:rsid w:val="003C275E"/>
    <w:rsid w:val="003D0BC3"/>
    <w:rsid w:val="003D27F8"/>
    <w:rsid w:val="003D369F"/>
    <w:rsid w:val="003D5AD7"/>
    <w:rsid w:val="003E43B2"/>
    <w:rsid w:val="003E7214"/>
    <w:rsid w:val="003F15EE"/>
    <w:rsid w:val="0040270C"/>
    <w:rsid w:val="00414172"/>
    <w:rsid w:val="0043167D"/>
    <w:rsid w:val="00433202"/>
    <w:rsid w:val="00437B93"/>
    <w:rsid w:val="00445959"/>
    <w:rsid w:val="0044684E"/>
    <w:rsid w:val="004472B8"/>
    <w:rsid w:val="00460027"/>
    <w:rsid w:val="00460127"/>
    <w:rsid w:val="00471410"/>
    <w:rsid w:val="00471FDD"/>
    <w:rsid w:val="00473E89"/>
    <w:rsid w:val="0048248C"/>
    <w:rsid w:val="004904F4"/>
    <w:rsid w:val="00493AD5"/>
    <w:rsid w:val="00494E1A"/>
    <w:rsid w:val="004B2DF5"/>
    <w:rsid w:val="004C32C9"/>
    <w:rsid w:val="004C5689"/>
    <w:rsid w:val="004D3310"/>
    <w:rsid w:val="004E09DF"/>
    <w:rsid w:val="004E301A"/>
    <w:rsid w:val="004E4660"/>
    <w:rsid w:val="004E46D9"/>
    <w:rsid w:val="004E6802"/>
    <w:rsid w:val="004E78AB"/>
    <w:rsid w:val="004F1B06"/>
    <w:rsid w:val="004F6ECD"/>
    <w:rsid w:val="004F7289"/>
    <w:rsid w:val="00503294"/>
    <w:rsid w:val="00513F9D"/>
    <w:rsid w:val="005176CD"/>
    <w:rsid w:val="0052632A"/>
    <w:rsid w:val="00530C38"/>
    <w:rsid w:val="0054710F"/>
    <w:rsid w:val="00547141"/>
    <w:rsid w:val="00554919"/>
    <w:rsid w:val="00562FD2"/>
    <w:rsid w:val="0056389D"/>
    <w:rsid w:val="005714BE"/>
    <w:rsid w:val="00572E85"/>
    <w:rsid w:val="00580767"/>
    <w:rsid w:val="00590312"/>
    <w:rsid w:val="005A4B3C"/>
    <w:rsid w:val="005A6842"/>
    <w:rsid w:val="005A6916"/>
    <w:rsid w:val="005B4F63"/>
    <w:rsid w:val="005B6FBB"/>
    <w:rsid w:val="005C1DEC"/>
    <w:rsid w:val="005D5677"/>
    <w:rsid w:val="005E04AE"/>
    <w:rsid w:val="005E09D7"/>
    <w:rsid w:val="005E6FFA"/>
    <w:rsid w:val="00604DD4"/>
    <w:rsid w:val="006052DB"/>
    <w:rsid w:val="00617A9D"/>
    <w:rsid w:val="0063590C"/>
    <w:rsid w:val="0065346E"/>
    <w:rsid w:val="006559E0"/>
    <w:rsid w:val="00656281"/>
    <w:rsid w:val="006629C8"/>
    <w:rsid w:val="00664C3C"/>
    <w:rsid w:val="0066555F"/>
    <w:rsid w:val="0067406C"/>
    <w:rsid w:val="00677FEB"/>
    <w:rsid w:val="0069624A"/>
    <w:rsid w:val="006A263E"/>
    <w:rsid w:val="006B2128"/>
    <w:rsid w:val="006B528B"/>
    <w:rsid w:val="006B62AF"/>
    <w:rsid w:val="006B63AE"/>
    <w:rsid w:val="006B6FEA"/>
    <w:rsid w:val="006C1AAA"/>
    <w:rsid w:val="006D057D"/>
    <w:rsid w:val="006D7E8D"/>
    <w:rsid w:val="006E00D6"/>
    <w:rsid w:val="006F5C16"/>
    <w:rsid w:val="007009D5"/>
    <w:rsid w:val="007076FD"/>
    <w:rsid w:val="0071224F"/>
    <w:rsid w:val="0071373A"/>
    <w:rsid w:val="00722BEC"/>
    <w:rsid w:val="00722E84"/>
    <w:rsid w:val="00725F2C"/>
    <w:rsid w:val="00735FA8"/>
    <w:rsid w:val="00740A9F"/>
    <w:rsid w:val="00743813"/>
    <w:rsid w:val="007466D1"/>
    <w:rsid w:val="0075239F"/>
    <w:rsid w:val="007629E3"/>
    <w:rsid w:val="00763EB6"/>
    <w:rsid w:val="00766E0E"/>
    <w:rsid w:val="007778B4"/>
    <w:rsid w:val="00792469"/>
    <w:rsid w:val="007A3AB1"/>
    <w:rsid w:val="007A6AA3"/>
    <w:rsid w:val="007B259F"/>
    <w:rsid w:val="007D0848"/>
    <w:rsid w:val="007D30B1"/>
    <w:rsid w:val="007E3CDE"/>
    <w:rsid w:val="007F11DC"/>
    <w:rsid w:val="007F1E4C"/>
    <w:rsid w:val="007F27DB"/>
    <w:rsid w:val="007F5732"/>
    <w:rsid w:val="007F5B02"/>
    <w:rsid w:val="00804A23"/>
    <w:rsid w:val="00804F09"/>
    <w:rsid w:val="008110CE"/>
    <w:rsid w:val="0081135A"/>
    <w:rsid w:val="00814F1F"/>
    <w:rsid w:val="008214A6"/>
    <w:rsid w:val="00821B1B"/>
    <w:rsid w:val="00846D82"/>
    <w:rsid w:val="008470C9"/>
    <w:rsid w:val="008501F6"/>
    <w:rsid w:val="00853F5D"/>
    <w:rsid w:val="00854407"/>
    <w:rsid w:val="0086548C"/>
    <w:rsid w:val="008700F2"/>
    <w:rsid w:val="0087107B"/>
    <w:rsid w:val="00871729"/>
    <w:rsid w:val="00871DA8"/>
    <w:rsid w:val="00885325"/>
    <w:rsid w:val="008923D3"/>
    <w:rsid w:val="008A0E33"/>
    <w:rsid w:val="008A2AC0"/>
    <w:rsid w:val="008A4458"/>
    <w:rsid w:val="008B3D26"/>
    <w:rsid w:val="008B4884"/>
    <w:rsid w:val="008B63B2"/>
    <w:rsid w:val="008D15FB"/>
    <w:rsid w:val="008E623C"/>
    <w:rsid w:val="008F248D"/>
    <w:rsid w:val="008F3C0A"/>
    <w:rsid w:val="00900DED"/>
    <w:rsid w:val="00901716"/>
    <w:rsid w:val="00901C06"/>
    <w:rsid w:val="009032D8"/>
    <w:rsid w:val="00903A85"/>
    <w:rsid w:val="00915096"/>
    <w:rsid w:val="00915BB4"/>
    <w:rsid w:val="0093322F"/>
    <w:rsid w:val="009344EC"/>
    <w:rsid w:val="0094116A"/>
    <w:rsid w:val="0094434A"/>
    <w:rsid w:val="0094530E"/>
    <w:rsid w:val="00951BDC"/>
    <w:rsid w:val="00957495"/>
    <w:rsid w:val="00965034"/>
    <w:rsid w:val="00973FBB"/>
    <w:rsid w:val="00982380"/>
    <w:rsid w:val="00986E45"/>
    <w:rsid w:val="0099668C"/>
    <w:rsid w:val="00997221"/>
    <w:rsid w:val="009A6F1B"/>
    <w:rsid w:val="009B0BB8"/>
    <w:rsid w:val="009C40DB"/>
    <w:rsid w:val="009C48F1"/>
    <w:rsid w:val="009D4508"/>
    <w:rsid w:val="009D4DC9"/>
    <w:rsid w:val="009D6FC1"/>
    <w:rsid w:val="009D72DF"/>
    <w:rsid w:val="009E7609"/>
    <w:rsid w:val="00A00B13"/>
    <w:rsid w:val="00A44813"/>
    <w:rsid w:val="00A46115"/>
    <w:rsid w:val="00A7669D"/>
    <w:rsid w:val="00A83C9E"/>
    <w:rsid w:val="00A84DB9"/>
    <w:rsid w:val="00A85873"/>
    <w:rsid w:val="00A93BDF"/>
    <w:rsid w:val="00AA7FBF"/>
    <w:rsid w:val="00AB1C80"/>
    <w:rsid w:val="00AB266B"/>
    <w:rsid w:val="00AB5D3E"/>
    <w:rsid w:val="00AC25DF"/>
    <w:rsid w:val="00AC420C"/>
    <w:rsid w:val="00AC4F54"/>
    <w:rsid w:val="00AE26B4"/>
    <w:rsid w:val="00AE53F6"/>
    <w:rsid w:val="00AF6560"/>
    <w:rsid w:val="00B003F9"/>
    <w:rsid w:val="00B01C27"/>
    <w:rsid w:val="00B05AA8"/>
    <w:rsid w:val="00B11F6B"/>
    <w:rsid w:val="00B13BB4"/>
    <w:rsid w:val="00B242D9"/>
    <w:rsid w:val="00B24559"/>
    <w:rsid w:val="00B34DFC"/>
    <w:rsid w:val="00B37C1B"/>
    <w:rsid w:val="00B55A9B"/>
    <w:rsid w:val="00B72AC9"/>
    <w:rsid w:val="00B76A69"/>
    <w:rsid w:val="00B90FC4"/>
    <w:rsid w:val="00B919F3"/>
    <w:rsid w:val="00B97D43"/>
    <w:rsid w:val="00BA50A5"/>
    <w:rsid w:val="00BA6639"/>
    <w:rsid w:val="00BA691D"/>
    <w:rsid w:val="00BC0237"/>
    <w:rsid w:val="00BC1916"/>
    <w:rsid w:val="00BC266E"/>
    <w:rsid w:val="00BE2AC1"/>
    <w:rsid w:val="00BF0D29"/>
    <w:rsid w:val="00BF24C0"/>
    <w:rsid w:val="00BF50C7"/>
    <w:rsid w:val="00C029DA"/>
    <w:rsid w:val="00C05271"/>
    <w:rsid w:val="00C05F49"/>
    <w:rsid w:val="00C20656"/>
    <w:rsid w:val="00C20EF1"/>
    <w:rsid w:val="00C4244A"/>
    <w:rsid w:val="00C45D25"/>
    <w:rsid w:val="00C643B7"/>
    <w:rsid w:val="00C64AFB"/>
    <w:rsid w:val="00C6617D"/>
    <w:rsid w:val="00C7189F"/>
    <w:rsid w:val="00C72B0A"/>
    <w:rsid w:val="00C80F7C"/>
    <w:rsid w:val="00C84614"/>
    <w:rsid w:val="00C85357"/>
    <w:rsid w:val="00C86BEC"/>
    <w:rsid w:val="00C87863"/>
    <w:rsid w:val="00C96F3E"/>
    <w:rsid w:val="00CA3A6E"/>
    <w:rsid w:val="00CA7F6C"/>
    <w:rsid w:val="00CB1C25"/>
    <w:rsid w:val="00CB5EAC"/>
    <w:rsid w:val="00CC7EA3"/>
    <w:rsid w:val="00CD0C6C"/>
    <w:rsid w:val="00CD0F06"/>
    <w:rsid w:val="00CD160F"/>
    <w:rsid w:val="00CD5B3B"/>
    <w:rsid w:val="00D04149"/>
    <w:rsid w:val="00D06E9C"/>
    <w:rsid w:val="00D164D4"/>
    <w:rsid w:val="00D27236"/>
    <w:rsid w:val="00D36238"/>
    <w:rsid w:val="00D379F2"/>
    <w:rsid w:val="00D43155"/>
    <w:rsid w:val="00D43D32"/>
    <w:rsid w:val="00D4492D"/>
    <w:rsid w:val="00D47A2B"/>
    <w:rsid w:val="00D5350A"/>
    <w:rsid w:val="00D84E41"/>
    <w:rsid w:val="00D86330"/>
    <w:rsid w:val="00D86F1D"/>
    <w:rsid w:val="00D90317"/>
    <w:rsid w:val="00D92919"/>
    <w:rsid w:val="00D97AE8"/>
    <w:rsid w:val="00DA6034"/>
    <w:rsid w:val="00DB36BE"/>
    <w:rsid w:val="00DC268D"/>
    <w:rsid w:val="00DD4CC8"/>
    <w:rsid w:val="00DD644C"/>
    <w:rsid w:val="00DE03AA"/>
    <w:rsid w:val="00DE04EE"/>
    <w:rsid w:val="00DE36AF"/>
    <w:rsid w:val="00DE6BCE"/>
    <w:rsid w:val="00DE76B5"/>
    <w:rsid w:val="00DF74F5"/>
    <w:rsid w:val="00E26F8E"/>
    <w:rsid w:val="00E335B3"/>
    <w:rsid w:val="00E51972"/>
    <w:rsid w:val="00E51F62"/>
    <w:rsid w:val="00E562FC"/>
    <w:rsid w:val="00E62776"/>
    <w:rsid w:val="00E702E5"/>
    <w:rsid w:val="00E80D5E"/>
    <w:rsid w:val="00E83985"/>
    <w:rsid w:val="00EA0F6C"/>
    <w:rsid w:val="00EA2C45"/>
    <w:rsid w:val="00EA529A"/>
    <w:rsid w:val="00EA56CC"/>
    <w:rsid w:val="00EA66EB"/>
    <w:rsid w:val="00EB3371"/>
    <w:rsid w:val="00EB450F"/>
    <w:rsid w:val="00EC2E07"/>
    <w:rsid w:val="00ED549E"/>
    <w:rsid w:val="00EE32F2"/>
    <w:rsid w:val="00EE4564"/>
    <w:rsid w:val="00EF0D00"/>
    <w:rsid w:val="00F02E94"/>
    <w:rsid w:val="00F069CE"/>
    <w:rsid w:val="00F11D85"/>
    <w:rsid w:val="00F16F71"/>
    <w:rsid w:val="00F33E18"/>
    <w:rsid w:val="00F372C9"/>
    <w:rsid w:val="00F41DE4"/>
    <w:rsid w:val="00F51B34"/>
    <w:rsid w:val="00F540A6"/>
    <w:rsid w:val="00F56471"/>
    <w:rsid w:val="00F67D20"/>
    <w:rsid w:val="00F72342"/>
    <w:rsid w:val="00F76A8D"/>
    <w:rsid w:val="00FA0A78"/>
    <w:rsid w:val="00FA45C1"/>
    <w:rsid w:val="00FA7C03"/>
    <w:rsid w:val="00FB530F"/>
    <w:rsid w:val="00FB6D27"/>
    <w:rsid w:val="00FB7625"/>
    <w:rsid w:val="00FC4284"/>
    <w:rsid w:val="00FC46FD"/>
    <w:rsid w:val="00FD00E1"/>
    <w:rsid w:val="00FD3CE1"/>
    <w:rsid w:val="00FE0319"/>
    <w:rsid w:val="00FE0B00"/>
    <w:rsid w:val="00FE2F2C"/>
    <w:rsid w:val="00FE42BC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BC0227"/>
  <w14:defaultImageDpi w14:val="300"/>
  <w15:docId w15:val="{18C9D4CD-E53E-4A9A-9DB2-2F80D7BB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7D5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024E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63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330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D86330"/>
    <w:rPr>
      <w:vertAlign w:val="superscript"/>
    </w:rPr>
  </w:style>
  <w:style w:type="character" w:customStyle="1" w:styleId="apple-converted-space">
    <w:name w:val="apple-converted-space"/>
    <w:basedOn w:val="DefaultParagraphFont"/>
    <w:rsid w:val="00EE4564"/>
  </w:style>
  <w:style w:type="character" w:customStyle="1" w:styleId="l5tlu1">
    <w:name w:val="l5tlu1"/>
    <w:basedOn w:val="DefaultParagraphFont"/>
    <w:rsid w:val="00B55A9B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216A-2E0E-47C0-96FB-88D22C0B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79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30</cp:revision>
  <cp:lastPrinted>2021-07-05T06:55:00Z</cp:lastPrinted>
  <dcterms:created xsi:type="dcterms:W3CDTF">2021-03-29T06:13:00Z</dcterms:created>
  <dcterms:modified xsi:type="dcterms:W3CDTF">2021-07-26T08:31:00Z</dcterms:modified>
</cp:coreProperties>
</file>